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C86CF2" w14:textId="2D1B708C" w:rsidR="0037569E" w:rsidRDefault="008A4B32" w:rsidP="00C6676B">
      <w:pPr>
        <w:jc w:val="center"/>
      </w:pPr>
      <w:r>
        <w:rPr>
          <w:noProof/>
        </w:rPr>
        <w:drawing>
          <wp:inline distT="0" distB="0" distL="0" distR="0" wp14:anchorId="12C393CD" wp14:editId="15AC31BD">
            <wp:extent cx="3000375" cy="84401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069543" cy="863473"/>
                    </a:xfrm>
                    <a:prstGeom prst="rect">
                      <a:avLst/>
                    </a:prstGeom>
                    <a:noFill/>
                    <a:ln>
                      <a:noFill/>
                    </a:ln>
                  </pic:spPr>
                </pic:pic>
              </a:graphicData>
            </a:graphic>
          </wp:inline>
        </w:drawing>
      </w:r>
    </w:p>
    <w:p w14:paraId="10B96562" w14:textId="33730EC2" w:rsidR="00C6676B" w:rsidRDefault="00C6676B" w:rsidP="00C6676B">
      <w:pPr>
        <w:jc w:val="center"/>
      </w:pPr>
    </w:p>
    <w:p w14:paraId="069C93C3" w14:textId="48A4FF57" w:rsidR="00C6676B" w:rsidRPr="00C6676B" w:rsidRDefault="00C6676B" w:rsidP="00C6676B">
      <w:pPr>
        <w:rPr>
          <w:rFonts w:ascii="Arial" w:hAnsi="Arial" w:cs="Arial"/>
        </w:rPr>
      </w:pPr>
      <w:r w:rsidRPr="00C6676B">
        <w:rPr>
          <w:rFonts w:ascii="Arial" w:hAnsi="Arial" w:cs="Arial"/>
        </w:rPr>
        <w:t>January 20, 2022</w:t>
      </w:r>
    </w:p>
    <w:p w14:paraId="7CE48CF6" w14:textId="6700A9D5" w:rsidR="00C6676B" w:rsidRDefault="00C6676B" w:rsidP="00C6676B"/>
    <w:p w14:paraId="16950D57" w14:textId="77777777" w:rsidR="00C6676B" w:rsidRPr="00AB37B6" w:rsidRDefault="00C6676B" w:rsidP="00C6676B">
      <w:pPr>
        <w:spacing w:line="240" w:lineRule="auto"/>
        <w:rPr>
          <w:rFonts w:ascii="Arial" w:eastAsia="Times New Roman" w:hAnsi="Arial" w:cs="Arial"/>
          <w:color w:val="222222"/>
          <w:shd w:val="clear" w:color="auto" w:fill="FFFFFF"/>
        </w:rPr>
      </w:pPr>
      <w:r w:rsidRPr="00AB37B6">
        <w:rPr>
          <w:rFonts w:ascii="Arial" w:eastAsia="Times New Roman" w:hAnsi="Arial" w:cs="Arial"/>
          <w:color w:val="222222"/>
          <w:shd w:val="clear" w:color="auto" w:fill="FFFFFF"/>
        </w:rPr>
        <w:t>Dear members of the Colorado State Board of Education:</w:t>
      </w:r>
    </w:p>
    <w:p w14:paraId="6F2D8AC2" w14:textId="77777777" w:rsidR="00C6676B" w:rsidRPr="00AB37B6" w:rsidRDefault="00C6676B" w:rsidP="00C6676B">
      <w:pPr>
        <w:shd w:val="clear" w:color="auto" w:fill="FFFFFF"/>
        <w:spacing w:line="240" w:lineRule="auto"/>
        <w:rPr>
          <w:rFonts w:ascii="Arial" w:eastAsia="Times New Roman" w:hAnsi="Arial" w:cs="Arial"/>
          <w:color w:val="222222"/>
        </w:rPr>
      </w:pPr>
    </w:p>
    <w:p w14:paraId="4131319B" w14:textId="77777777" w:rsidR="00C6676B" w:rsidRPr="00AB37B6" w:rsidRDefault="00C6676B" w:rsidP="00C6676B">
      <w:pPr>
        <w:shd w:val="clear" w:color="auto" w:fill="FFFFFF"/>
        <w:spacing w:line="240" w:lineRule="auto"/>
        <w:rPr>
          <w:rFonts w:ascii="Arial" w:eastAsia="Times New Roman" w:hAnsi="Arial" w:cs="Arial"/>
          <w:color w:val="222222"/>
        </w:rPr>
      </w:pPr>
      <w:r w:rsidRPr="00AB37B6">
        <w:rPr>
          <w:rFonts w:ascii="Arial" w:eastAsia="Times New Roman" w:hAnsi="Arial" w:cs="Arial"/>
          <w:i/>
          <w:iCs/>
          <w:color w:val="222222"/>
        </w:rPr>
        <w:t>Advocates for Public Education Policy </w:t>
      </w:r>
      <w:r w:rsidRPr="00AB37B6">
        <w:rPr>
          <w:rFonts w:ascii="Arial" w:eastAsia="Times New Roman" w:hAnsi="Arial" w:cs="Arial"/>
          <w:color w:val="222222"/>
        </w:rPr>
        <w:t>would like to provide you with our perspective regarding Central Elementary of Adams 14 and efforts to improve their turnaround accountability status.  We think the best option would be to use the Community School Model.</w:t>
      </w:r>
    </w:p>
    <w:p w14:paraId="1748EE56" w14:textId="77777777" w:rsidR="00C6676B" w:rsidRPr="00AB37B6" w:rsidRDefault="00C6676B" w:rsidP="00C6676B">
      <w:pPr>
        <w:shd w:val="clear" w:color="auto" w:fill="FFFFFF"/>
        <w:spacing w:line="240" w:lineRule="auto"/>
        <w:rPr>
          <w:rFonts w:ascii="Arial" w:eastAsia="Times New Roman" w:hAnsi="Arial" w:cs="Arial"/>
          <w:color w:val="222222"/>
        </w:rPr>
      </w:pPr>
    </w:p>
    <w:p w14:paraId="63EC29B7" w14:textId="77777777" w:rsidR="00C6676B" w:rsidRPr="00AB37B6" w:rsidRDefault="00C6676B" w:rsidP="00C6676B">
      <w:pPr>
        <w:shd w:val="clear" w:color="auto" w:fill="FFFFFF"/>
        <w:spacing w:line="240" w:lineRule="auto"/>
        <w:rPr>
          <w:rFonts w:ascii="Arial" w:eastAsia="Times New Roman" w:hAnsi="Arial" w:cs="Arial"/>
          <w:color w:val="222222"/>
        </w:rPr>
      </w:pPr>
      <w:r>
        <w:rPr>
          <w:rFonts w:ascii="Arial" w:eastAsia="Times New Roman" w:hAnsi="Arial" w:cs="Arial"/>
          <w:color w:val="222222"/>
        </w:rPr>
        <w:t>A</w:t>
      </w:r>
      <w:r w:rsidRPr="00AB37B6">
        <w:rPr>
          <w:rFonts w:ascii="Arial" w:eastAsia="Times New Roman" w:hAnsi="Arial" w:cs="Arial"/>
          <w:color w:val="222222"/>
        </w:rPr>
        <w:t xml:space="preserve">dopting this model would be best </w:t>
      </w:r>
      <w:r>
        <w:rPr>
          <w:rFonts w:ascii="Arial" w:eastAsia="Times New Roman" w:hAnsi="Arial" w:cs="Arial"/>
          <w:color w:val="222222"/>
        </w:rPr>
        <w:t xml:space="preserve">in our opinion </w:t>
      </w:r>
      <w:r w:rsidRPr="00AB37B6">
        <w:rPr>
          <w:rFonts w:ascii="Arial" w:eastAsia="Times New Roman" w:hAnsi="Arial" w:cs="Arial"/>
          <w:color w:val="222222"/>
        </w:rPr>
        <w:t>because of the following facts about Central Elementary students:</w:t>
      </w:r>
    </w:p>
    <w:p w14:paraId="76092E77" w14:textId="77777777" w:rsidR="00C6676B" w:rsidRPr="00AB37B6" w:rsidRDefault="00C6676B" w:rsidP="00C6676B">
      <w:pPr>
        <w:numPr>
          <w:ilvl w:val="0"/>
          <w:numId w:val="1"/>
        </w:numPr>
        <w:shd w:val="clear" w:color="auto" w:fill="FFFFFF"/>
        <w:spacing w:before="100" w:beforeAutospacing="1" w:after="100" w:afterAutospacing="1" w:line="240" w:lineRule="auto"/>
        <w:ind w:left="945"/>
        <w:rPr>
          <w:rFonts w:ascii="Arial" w:eastAsia="Times New Roman" w:hAnsi="Arial" w:cs="Arial"/>
          <w:color w:val="222222"/>
        </w:rPr>
      </w:pPr>
      <w:r w:rsidRPr="00AB37B6">
        <w:rPr>
          <w:rFonts w:ascii="Arial" w:eastAsia="Times New Roman" w:hAnsi="Arial" w:cs="Arial"/>
          <w:color w:val="222222"/>
        </w:rPr>
        <w:t xml:space="preserve">89% are </w:t>
      </w:r>
      <w:proofErr w:type="gramStart"/>
      <w:r w:rsidRPr="00AB37B6">
        <w:rPr>
          <w:rFonts w:ascii="Arial" w:eastAsia="Times New Roman" w:hAnsi="Arial" w:cs="Arial"/>
          <w:color w:val="222222"/>
        </w:rPr>
        <w:t>economically disadvantaged</w:t>
      </w:r>
      <w:proofErr w:type="gramEnd"/>
    </w:p>
    <w:p w14:paraId="59487507" w14:textId="77777777" w:rsidR="00C6676B" w:rsidRPr="00AB37B6" w:rsidRDefault="00C6676B" w:rsidP="00C6676B">
      <w:pPr>
        <w:numPr>
          <w:ilvl w:val="0"/>
          <w:numId w:val="1"/>
        </w:numPr>
        <w:shd w:val="clear" w:color="auto" w:fill="FFFFFF"/>
        <w:spacing w:before="100" w:beforeAutospacing="1" w:after="100" w:afterAutospacing="1" w:line="240" w:lineRule="auto"/>
        <w:ind w:left="945"/>
        <w:rPr>
          <w:rFonts w:ascii="Arial" w:eastAsia="Times New Roman" w:hAnsi="Arial" w:cs="Arial"/>
          <w:color w:val="222222"/>
        </w:rPr>
      </w:pPr>
      <w:r w:rsidRPr="00AB37B6">
        <w:rPr>
          <w:rFonts w:ascii="Arial" w:eastAsia="Times New Roman" w:hAnsi="Arial" w:cs="Arial"/>
          <w:color w:val="222222"/>
        </w:rPr>
        <w:t>90% are minority (80% Hispanic, high ELL)</w:t>
      </w:r>
    </w:p>
    <w:p w14:paraId="4BBE79AA" w14:textId="77777777" w:rsidR="00C6676B" w:rsidRPr="00AB37B6" w:rsidRDefault="00C6676B" w:rsidP="00C6676B">
      <w:pPr>
        <w:numPr>
          <w:ilvl w:val="0"/>
          <w:numId w:val="1"/>
        </w:numPr>
        <w:shd w:val="clear" w:color="auto" w:fill="FFFFFF"/>
        <w:spacing w:before="100" w:beforeAutospacing="1" w:after="100" w:afterAutospacing="1" w:line="240" w:lineRule="auto"/>
        <w:ind w:left="945"/>
        <w:rPr>
          <w:rFonts w:ascii="Arial" w:eastAsia="Times New Roman" w:hAnsi="Arial" w:cs="Arial"/>
          <w:color w:val="222222"/>
        </w:rPr>
      </w:pPr>
      <w:r w:rsidRPr="00AB37B6">
        <w:rPr>
          <w:rFonts w:ascii="Arial" w:eastAsia="Times New Roman" w:hAnsi="Arial" w:cs="Arial"/>
          <w:color w:val="222222"/>
        </w:rPr>
        <w:t>16% scored at or above proficiency level in Math</w:t>
      </w:r>
    </w:p>
    <w:p w14:paraId="654E4CB7" w14:textId="77777777" w:rsidR="00C6676B" w:rsidRPr="00AB37B6" w:rsidRDefault="00C6676B" w:rsidP="00C6676B">
      <w:pPr>
        <w:numPr>
          <w:ilvl w:val="0"/>
          <w:numId w:val="1"/>
        </w:numPr>
        <w:shd w:val="clear" w:color="auto" w:fill="FFFFFF"/>
        <w:spacing w:before="100" w:beforeAutospacing="1" w:after="100" w:afterAutospacing="1" w:line="240" w:lineRule="auto"/>
        <w:ind w:left="945"/>
        <w:rPr>
          <w:rFonts w:ascii="Arial" w:eastAsia="Times New Roman" w:hAnsi="Arial" w:cs="Arial"/>
          <w:color w:val="222222"/>
        </w:rPr>
      </w:pPr>
      <w:r w:rsidRPr="00AB37B6">
        <w:rPr>
          <w:rFonts w:ascii="Arial" w:eastAsia="Times New Roman" w:hAnsi="Arial" w:cs="Arial"/>
          <w:color w:val="222222"/>
        </w:rPr>
        <w:t>19% scored at or above proficiency level in Reading</w:t>
      </w:r>
    </w:p>
    <w:p w14:paraId="07E20025" w14:textId="77777777" w:rsidR="00C6676B" w:rsidRPr="00AB37B6" w:rsidRDefault="00C6676B" w:rsidP="00C6676B">
      <w:pPr>
        <w:shd w:val="clear" w:color="auto" w:fill="FFFFFF"/>
        <w:spacing w:line="240" w:lineRule="auto"/>
        <w:rPr>
          <w:rFonts w:ascii="Arial" w:eastAsia="Times New Roman" w:hAnsi="Arial" w:cs="Arial"/>
          <w:color w:val="222222"/>
        </w:rPr>
      </w:pPr>
      <w:r w:rsidRPr="00AB37B6">
        <w:rPr>
          <w:rFonts w:ascii="Arial" w:eastAsia="Times New Roman" w:hAnsi="Arial" w:cs="Arial"/>
          <w:color w:val="222222"/>
        </w:rPr>
        <w:t>Research shows that schools with high-poverty student populations and large numbers of ELL students require an approach which spans beyond the classroom.  Families who struggle with housing and food insecurity, language barriers, and access to adequate healthcare and mental health services have children who are less likely to do well in school.  </w:t>
      </w:r>
    </w:p>
    <w:p w14:paraId="042C41FE" w14:textId="77777777" w:rsidR="00C6676B" w:rsidRPr="00AB37B6" w:rsidRDefault="00C6676B" w:rsidP="00C6676B">
      <w:pPr>
        <w:shd w:val="clear" w:color="auto" w:fill="FFFFFF"/>
        <w:spacing w:line="240" w:lineRule="auto"/>
        <w:rPr>
          <w:rFonts w:ascii="Arial" w:eastAsia="Times New Roman" w:hAnsi="Arial" w:cs="Arial"/>
          <w:color w:val="222222"/>
        </w:rPr>
      </w:pPr>
    </w:p>
    <w:p w14:paraId="30EC69BE" w14:textId="77777777" w:rsidR="00C6676B" w:rsidRPr="00AB37B6" w:rsidRDefault="00C6676B" w:rsidP="00C6676B">
      <w:pPr>
        <w:shd w:val="clear" w:color="auto" w:fill="FFFFFF"/>
        <w:spacing w:line="240" w:lineRule="auto"/>
        <w:rPr>
          <w:rFonts w:ascii="Arial" w:eastAsia="Times New Roman" w:hAnsi="Arial" w:cs="Arial"/>
          <w:color w:val="222222"/>
        </w:rPr>
      </w:pPr>
      <w:r w:rsidRPr="00AB37B6">
        <w:rPr>
          <w:rFonts w:ascii="Arial" w:eastAsia="Times New Roman" w:hAnsi="Arial" w:cs="Arial"/>
          <w:color w:val="222222"/>
        </w:rPr>
        <w:t>Research also reveals that family income highly correlates with how well students perform on statewide standardized tests. The higher the family income, the higher the scores, and the lower the income, the lower the scores.  This is not an opinion; it is backed by years of evidence.</w:t>
      </w:r>
    </w:p>
    <w:p w14:paraId="78A167E6" w14:textId="77777777" w:rsidR="00C6676B" w:rsidRPr="00AB37B6" w:rsidRDefault="00C6676B" w:rsidP="00C6676B">
      <w:pPr>
        <w:shd w:val="clear" w:color="auto" w:fill="FFFFFF"/>
        <w:spacing w:line="240" w:lineRule="auto"/>
        <w:rPr>
          <w:rFonts w:ascii="Arial" w:eastAsia="Times New Roman" w:hAnsi="Arial" w:cs="Arial"/>
          <w:color w:val="222222"/>
        </w:rPr>
      </w:pPr>
    </w:p>
    <w:p w14:paraId="631BE680" w14:textId="77777777" w:rsidR="00C6676B" w:rsidRPr="00AB37B6" w:rsidRDefault="00C6676B" w:rsidP="00C6676B">
      <w:pPr>
        <w:shd w:val="clear" w:color="auto" w:fill="FFFFFF"/>
        <w:spacing w:line="240" w:lineRule="auto"/>
        <w:rPr>
          <w:rFonts w:ascii="Arial" w:eastAsia="Times New Roman" w:hAnsi="Arial" w:cs="Arial"/>
          <w:color w:val="222222"/>
        </w:rPr>
      </w:pPr>
      <w:r w:rsidRPr="00AB37B6">
        <w:rPr>
          <w:rFonts w:ascii="Arial" w:eastAsia="Times New Roman" w:hAnsi="Arial" w:cs="Arial"/>
          <w:color w:val="222222"/>
        </w:rPr>
        <w:t>If children are to succeed in school, the most effective, research-based approach is to address the "out-of-school" factors which affect learning and academic progress.  If students have stable housing, adequate food and clothing, access to a doctor and dentist, enrichment opportunities, and parental and community support, their chances of academic success greatly improve.</w:t>
      </w:r>
    </w:p>
    <w:p w14:paraId="4066B7C2" w14:textId="77777777" w:rsidR="00C6676B" w:rsidRPr="00AB37B6" w:rsidRDefault="00C6676B" w:rsidP="00C6676B">
      <w:pPr>
        <w:shd w:val="clear" w:color="auto" w:fill="FFFFFF"/>
        <w:spacing w:line="240" w:lineRule="auto"/>
        <w:rPr>
          <w:rFonts w:ascii="Arial" w:eastAsia="Times New Roman" w:hAnsi="Arial" w:cs="Arial"/>
          <w:color w:val="222222"/>
        </w:rPr>
      </w:pPr>
    </w:p>
    <w:p w14:paraId="3FA45F99" w14:textId="77777777" w:rsidR="00C6676B" w:rsidRPr="00AB37B6" w:rsidRDefault="00C6676B" w:rsidP="00C6676B">
      <w:pPr>
        <w:shd w:val="clear" w:color="auto" w:fill="FFFFFF"/>
        <w:spacing w:line="240" w:lineRule="auto"/>
        <w:rPr>
          <w:rFonts w:ascii="Arial" w:eastAsia="Times New Roman" w:hAnsi="Arial" w:cs="Arial"/>
          <w:color w:val="222222"/>
        </w:rPr>
      </w:pPr>
      <w:r w:rsidRPr="00AB37B6">
        <w:rPr>
          <w:rFonts w:ascii="Arial" w:eastAsia="Times New Roman" w:hAnsi="Arial" w:cs="Arial"/>
          <w:color w:val="222222"/>
        </w:rPr>
        <w:t>The Community School Model - which involves incorporating local, state, and federal wraparound services and programs into the school community as supports for students and families – would be beneficial in helping Central Elementary students improve academically.  </w:t>
      </w:r>
    </w:p>
    <w:p w14:paraId="1FF44D6C" w14:textId="77777777" w:rsidR="00C6676B" w:rsidRPr="00AB37B6" w:rsidRDefault="00C6676B" w:rsidP="00C6676B">
      <w:pPr>
        <w:shd w:val="clear" w:color="auto" w:fill="FFFFFF"/>
        <w:spacing w:line="240" w:lineRule="auto"/>
        <w:rPr>
          <w:rFonts w:ascii="Arial" w:eastAsia="Times New Roman" w:hAnsi="Arial" w:cs="Arial"/>
          <w:color w:val="222222"/>
        </w:rPr>
      </w:pPr>
    </w:p>
    <w:p w14:paraId="7A4ADDBB" w14:textId="77777777" w:rsidR="00C6676B" w:rsidRPr="00AB37B6" w:rsidRDefault="00C6676B" w:rsidP="00C6676B">
      <w:pPr>
        <w:shd w:val="clear" w:color="auto" w:fill="FFFFFF"/>
        <w:spacing w:line="240" w:lineRule="auto"/>
        <w:rPr>
          <w:rFonts w:ascii="Arial" w:eastAsia="Times New Roman" w:hAnsi="Arial" w:cs="Arial"/>
          <w:color w:val="222222"/>
        </w:rPr>
      </w:pPr>
      <w:r w:rsidRPr="00AB37B6">
        <w:rPr>
          <w:rFonts w:ascii="Arial" w:eastAsia="Times New Roman" w:hAnsi="Arial" w:cs="Arial"/>
          <w:color w:val="222222"/>
        </w:rPr>
        <w:t>State statute allows for this option and is defined in current law.  Furthermore, there are strong frameworks and guidelines readily available to the district and school in which to develop this model.  The links below offer some information and examples.</w:t>
      </w:r>
    </w:p>
    <w:p w14:paraId="2529434D" w14:textId="77777777" w:rsidR="00C6676B" w:rsidRPr="00AB37B6" w:rsidRDefault="00C6676B" w:rsidP="00C6676B">
      <w:pPr>
        <w:shd w:val="clear" w:color="auto" w:fill="FFFFFF"/>
        <w:spacing w:line="240" w:lineRule="auto"/>
        <w:rPr>
          <w:rFonts w:ascii="Arial" w:eastAsia="Times New Roman" w:hAnsi="Arial" w:cs="Arial"/>
          <w:color w:val="222222"/>
        </w:rPr>
      </w:pPr>
    </w:p>
    <w:p w14:paraId="3B0797E5" w14:textId="77777777" w:rsidR="00C6676B" w:rsidRPr="00AB37B6" w:rsidRDefault="00C6676B" w:rsidP="00C6676B">
      <w:pPr>
        <w:shd w:val="clear" w:color="auto" w:fill="FFFFFF"/>
        <w:spacing w:line="240" w:lineRule="auto"/>
        <w:rPr>
          <w:rFonts w:ascii="Arial" w:eastAsia="Times New Roman" w:hAnsi="Arial" w:cs="Arial"/>
          <w:color w:val="222222"/>
        </w:rPr>
      </w:pPr>
      <w:r w:rsidRPr="00AB37B6">
        <w:rPr>
          <w:rFonts w:ascii="Arial" w:eastAsia="Times New Roman" w:hAnsi="Arial" w:cs="Arial"/>
          <w:color w:val="222222"/>
        </w:rPr>
        <w:t>Respectfully submitted,</w:t>
      </w:r>
    </w:p>
    <w:p w14:paraId="2D5B0B80" w14:textId="77777777" w:rsidR="00C6676B" w:rsidRPr="00AB37B6" w:rsidRDefault="00C6676B" w:rsidP="00C6676B">
      <w:pPr>
        <w:shd w:val="clear" w:color="auto" w:fill="FFFFFF"/>
        <w:spacing w:line="240" w:lineRule="auto"/>
        <w:rPr>
          <w:rFonts w:ascii="Arial" w:eastAsia="Times New Roman" w:hAnsi="Arial" w:cs="Arial"/>
          <w:color w:val="222222"/>
        </w:rPr>
      </w:pPr>
      <w:r w:rsidRPr="00AB37B6">
        <w:rPr>
          <w:rFonts w:ascii="Arial" w:eastAsia="Times New Roman" w:hAnsi="Arial" w:cs="Arial"/>
          <w:color w:val="222222"/>
        </w:rPr>
        <w:t>Judy Solano</w:t>
      </w:r>
    </w:p>
    <w:p w14:paraId="18D50924" w14:textId="77777777" w:rsidR="00C6676B" w:rsidRPr="00AB37B6" w:rsidRDefault="00C6676B" w:rsidP="00C6676B">
      <w:pPr>
        <w:shd w:val="clear" w:color="auto" w:fill="FFFFFF"/>
        <w:spacing w:line="240" w:lineRule="auto"/>
        <w:rPr>
          <w:rFonts w:ascii="Arial" w:eastAsia="Times New Roman" w:hAnsi="Arial" w:cs="Arial"/>
          <w:color w:val="222222"/>
        </w:rPr>
      </w:pPr>
      <w:r w:rsidRPr="00AB37B6">
        <w:rPr>
          <w:rFonts w:ascii="Arial" w:eastAsia="Times New Roman" w:hAnsi="Arial" w:cs="Arial"/>
          <w:color w:val="222222"/>
        </w:rPr>
        <w:t>Chair of </w:t>
      </w:r>
      <w:r w:rsidRPr="00AB37B6">
        <w:rPr>
          <w:rFonts w:ascii="Arial" w:eastAsia="Times New Roman" w:hAnsi="Arial" w:cs="Arial"/>
          <w:i/>
          <w:iCs/>
          <w:color w:val="222222"/>
        </w:rPr>
        <w:t>Advocates for Public Education Policy</w:t>
      </w:r>
    </w:p>
    <w:p w14:paraId="3FCC632C" w14:textId="77777777" w:rsidR="00C6676B" w:rsidRPr="00AB37B6" w:rsidRDefault="00C6676B" w:rsidP="00C6676B">
      <w:pPr>
        <w:shd w:val="clear" w:color="auto" w:fill="FFFFFF"/>
        <w:spacing w:line="240" w:lineRule="auto"/>
        <w:rPr>
          <w:rFonts w:ascii="Arial" w:eastAsia="Times New Roman" w:hAnsi="Arial" w:cs="Arial"/>
          <w:color w:val="222222"/>
        </w:rPr>
      </w:pPr>
    </w:p>
    <w:p w14:paraId="1F057890" w14:textId="77777777" w:rsidR="00C6676B" w:rsidRPr="00AB37B6" w:rsidRDefault="00C6676B" w:rsidP="00C6676B">
      <w:pPr>
        <w:shd w:val="clear" w:color="auto" w:fill="FFFFFF"/>
        <w:spacing w:line="240" w:lineRule="auto"/>
        <w:rPr>
          <w:rFonts w:ascii="Arial" w:eastAsia="Times New Roman" w:hAnsi="Arial" w:cs="Arial"/>
          <w:color w:val="1155CC"/>
          <w:u w:val="single"/>
        </w:rPr>
      </w:pPr>
      <w:hyperlink r:id="rId6" w:tgtFrame="_blank" w:history="1">
        <w:r w:rsidRPr="00AB37B6">
          <w:rPr>
            <w:rFonts w:ascii="Arial" w:eastAsia="Times New Roman" w:hAnsi="Arial" w:cs="Arial"/>
            <w:color w:val="1155CC"/>
            <w:u w:val="single"/>
          </w:rPr>
          <w:t xml:space="preserve">Comm Schools </w:t>
        </w:r>
        <w:proofErr w:type="spellStart"/>
        <w:r w:rsidRPr="00AB37B6">
          <w:rPr>
            <w:rFonts w:ascii="Arial" w:eastAsia="Times New Roman" w:hAnsi="Arial" w:cs="Arial"/>
            <w:color w:val="1155CC"/>
            <w:u w:val="single"/>
          </w:rPr>
          <w:t>ToolKit</w:t>
        </w:r>
        <w:proofErr w:type="spellEnd"/>
        <w:r w:rsidRPr="00AB37B6">
          <w:rPr>
            <w:rFonts w:ascii="Arial" w:eastAsia="Times New Roman" w:hAnsi="Arial" w:cs="Arial"/>
            <w:color w:val="1155CC"/>
            <w:u w:val="single"/>
          </w:rPr>
          <w:t>-final digi-web-72617.pdf (nea.org)</w:t>
        </w:r>
      </w:hyperlink>
    </w:p>
    <w:p w14:paraId="1F8042F2" w14:textId="588B6989" w:rsidR="00C6676B" w:rsidRPr="00C6676B" w:rsidRDefault="00C6676B" w:rsidP="00C6676B">
      <w:pPr>
        <w:shd w:val="clear" w:color="auto" w:fill="FFFFFF"/>
        <w:spacing w:line="240" w:lineRule="auto"/>
        <w:rPr>
          <w:rFonts w:ascii="Arial" w:eastAsia="Times New Roman" w:hAnsi="Arial" w:cs="Arial"/>
          <w:color w:val="222222"/>
        </w:rPr>
      </w:pPr>
      <w:hyperlink r:id="rId7" w:tgtFrame="_blank" w:history="1">
        <w:r w:rsidRPr="00AB37B6">
          <w:rPr>
            <w:rFonts w:ascii="Arial" w:eastAsia="Times New Roman" w:hAnsi="Arial" w:cs="Arial"/>
            <w:color w:val="1155CC"/>
            <w:u w:val="single"/>
          </w:rPr>
          <w:t>The call for community schools | School of Education | University of Colorado Boulder</w:t>
        </w:r>
      </w:hyperlink>
    </w:p>
    <w:sectPr w:rsidR="00C6676B" w:rsidRPr="00C6676B" w:rsidSect="00C6676B">
      <w:pgSz w:w="12240" w:h="15840"/>
      <w:pgMar w:top="720" w:right="1080" w:bottom="72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A06197"/>
    <w:multiLevelType w:val="multilevel"/>
    <w:tmpl w:val="462EDE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4B32"/>
    <w:rsid w:val="0037569E"/>
    <w:rsid w:val="008A4B32"/>
    <w:rsid w:val="00C667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4463EB"/>
  <w15:chartTrackingRefBased/>
  <w15:docId w15:val="{4CF23F43-5276-4AEE-9DEB-C4686408A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colorado.edu/education/2020/11/11/call-community-school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nea.org/sites/default/files/2020-06/Comm%20Schools%20ToolKit-final%20digi-web-72617.pdf"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390</Words>
  <Characters>2227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Evie Hudak</dc:creator>
  <cp:keywords/>
  <dc:description/>
  <cp:lastModifiedBy>Evie Hudak</cp:lastModifiedBy>
  <cp:revision>2</cp:revision>
  <dcterms:created xsi:type="dcterms:W3CDTF">2022-01-20T19:36:00Z</dcterms:created>
  <dcterms:modified xsi:type="dcterms:W3CDTF">2022-01-20T19:36:00Z</dcterms:modified>
</cp:coreProperties>
</file>